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6B30" w:rsidRDefault="00A46B30" w:rsidP="00A46B30">
      <w:pPr>
        <w:spacing w:after="0" w:line="276" w:lineRule="auto"/>
        <w:jc w:val="both"/>
        <w:rPr>
          <w:rFonts w:ascii="Cambria" w:eastAsia="Cambria" w:hAnsi="Cambria" w:cs="Cambria"/>
        </w:rPr>
      </w:pPr>
    </w:p>
    <w:p w:rsidR="00A46B30" w:rsidRDefault="00A46B30" w:rsidP="00A46B30">
      <w:pPr>
        <w:spacing w:after="0"/>
        <w:ind w:left="284" w:hanging="284"/>
        <w:jc w:val="both"/>
        <w:rPr>
          <w:b/>
        </w:rPr>
      </w:pPr>
    </w:p>
    <w:p w:rsidR="00A46B30" w:rsidRDefault="00A46B30" w:rsidP="00A46B30">
      <w:pPr>
        <w:spacing w:after="0"/>
        <w:ind w:left="284" w:hanging="284"/>
        <w:jc w:val="both"/>
        <w:rPr>
          <w:b/>
        </w:rPr>
      </w:pPr>
      <w:r>
        <w:rPr>
          <w:b/>
        </w:rPr>
        <w:t>Περιγραφή βασικού θεωρητικού πλαισίου υποστήριξης του προγράμματος (έως 300 λέξεις)</w:t>
      </w:r>
    </w:p>
    <w:p w:rsidR="00A46B30" w:rsidRDefault="00A46B30" w:rsidP="00A46B30">
      <w:pPr>
        <w:pBdr>
          <w:top w:val="single" w:sz="4" w:space="1" w:color="000000"/>
          <w:left w:val="single" w:sz="4" w:space="1" w:color="000000"/>
          <w:bottom w:val="single" w:sz="4" w:space="1" w:color="000000"/>
          <w:right w:val="single" w:sz="4" w:space="4" w:color="000000"/>
        </w:pBdr>
        <w:spacing w:after="0" w:line="240" w:lineRule="auto"/>
        <w:jc w:val="both"/>
        <w:rPr>
          <w:sz w:val="20"/>
          <w:szCs w:val="20"/>
        </w:rPr>
      </w:pPr>
      <w:r>
        <w:rPr>
          <w:i/>
          <w:color w:val="161616"/>
          <w:highlight w:val="white"/>
        </w:rPr>
        <w:t>«Το φαινόμενο της βίας είναι βαθιά κοινωνικό, καθώς μεταξύ άλλων οφείλεται στη δημιουργία των κοινωνικών ανισοτήτων, που οδηγεί μεγάλα τμήματα της νεολαίας στην αμάθεια, την ημιμάθεια και την περιθωριοποίηση»(</w:t>
      </w:r>
      <w:r>
        <w:rPr>
          <w:b/>
          <w:i/>
          <w:color w:val="161616"/>
          <w:highlight w:val="white"/>
        </w:rPr>
        <w:t xml:space="preserve">Κωνσταντίνα </w:t>
      </w:r>
      <w:proofErr w:type="spellStart"/>
      <w:r>
        <w:rPr>
          <w:b/>
          <w:i/>
          <w:color w:val="161616"/>
          <w:highlight w:val="white"/>
        </w:rPr>
        <w:t>Γογγάκη</w:t>
      </w:r>
      <w:proofErr w:type="spellEnd"/>
      <w:r>
        <w:rPr>
          <w:b/>
          <w:i/>
          <w:color w:val="161616"/>
          <w:highlight w:val="white"/>
        </w:rPr>
        <w:t xml:space="preserve">, </w:t>
      </w:r>
      <w:proofErr w:type="spellStart"/>
      <w:r>
        <w:rPr>
          <w:b/>
          <w:i/>
          <w:color w:val="161616"/>
          <w:highlight w:val="white"/>
        </w:rPr>
        <w:t>αναπλ</w:t>
      </w:r>
      <w:proofErr w:type="spellEnd"/>
      <w:r>
        <w:rPr>
          <w:b/>
          <w:i/>
          <w:color w:val="161616"/>
          <w:highlight w:val="white"/>
        </w:rPr>
        <w:t xml:space="preserve">. </w:t>
      </w:r>
      <w:proofErr w:type="spellStart"/>
      <w:r>
        <w:rPr>
          <w:b/>
          <w:i/>
          <w:color w:val="161616"/>
          <w:highlight w:val="white"/>
        </w:rPr>
        <w:t>καθ</w:t>
      </w:r>
      <w:proofErr w:type="spellEnd"/>
      <w:r>
        <w:rPr>
          <w:b/>
          <w:i/>
          <w:color w:val="161616"/>
          <w:highlight w:val="white"/>
        </w:rPr>
        <w:t>. ΕΚΠΑ</w:t>
      </w:r>
      <w:r>
        <w:rPr>
          <w:i/>
          <w:color w:val="161616"/>
          <w:highlight w:val="white"/>
        </w:rPr>
        <w:t>).</w:t>
      </w:r>
      <w:r>
        <w:rPr>
          <w:rFonts w:ascii="Roboto Condensed" w:eastAsia="Roboto Condensed" w:hAnsi="Roboto Condensed" w:cs="Roboto Condensed"/>
          <w:i/>
          <w:color w:val="161616"/>
          <w:sz w:val="27"/>
          <w:szCs w:val="27"/>
          <w:highlight w:val="white"/>
        </w:rPr>
        <w:t xml:space="preserve"> </w:t>
      </w:r>
      <w:r>
        <w:t>Είναι αποδεκτό, πως η νέα γενιά έχει μία δική της θεώρηση των πραγμάτων και αντιλαμβάνεται το μέλλον με έναν τελείως διαφορετικό τρόπο. Συχνά, καταλαβαίνουμε ότι πρέπει να πεισθούν για καταστάσεις που δημιουργούνται στην κοινωνία και ο μόνος τρόπος για να γίνει αυτό είναι μέσα από τις σχολικές τάξεις, την εκπαίδευση και την ενημέρωση, που δέχονται από εκπαιδευτικούς φορείς και όχι μόνο.</w:t>
      </w:r>
      <w:r>
        <w:rPr>
          <w:rFonts w:ascii="Roboto Condensed" w:eastAsia="Roboto Condensed" w:hAnsi="Roboto Condensed" w:cs="Roboto Condensed"/>
          <w:color w:val="161616"/>
          <w:sz w:val="27"/>
          <w:szCs w:val="27"/>
          <w:highlight w:val="white"/>
        </w:rPr>
        <w:t xml:space="preserve"> </w:t>
      </w:r>
      <w:r>
        <w:rPr>
          <w:color w:val="161616"/>
          <w:highlight w:val="white"/>
        </w:rPr>
        <w:t>«</w:t>
      </w:r>
      <w:r>
        <w:rPr>
          <w:i/>
          <w:color w:val="161616"/>
          <w:highlight w:val="white"/>
        </w:rPr>
        <w:t>Η μεγάλη απόκλιση που διαπιστώνεται στην αξιολόγηση των αθλητικών γεγονότων αποκαλύπτει τρεις τομείς με ανεπάρκεια στη λειτουργία τους, απογυμνωμένους: Ο ένας είναι η μη αποτελεσματική παιδεία, ο έτερος η μη συνεκτική κοινωνία και ο τρίτος η μη αποτελεσματική πολιτεία.(…) Η βιαιότητα, πάντως, που εκδηλώνεται στους αθλητικούς χώρους, είναι φαινόμενο που οφείλει την γέννησή του στην ίδια την επιθετική κοινωνία. Ως εκ τούτου, έχει ιδιαίτερη σημασία η θέση που κατέχει η κοινωνία στην αξιολογική κλίμακα, και κατά συνέπεια η ποιότητα της πολιτικής ζωής και του πολιτισμού της»(</w:t>
      </w:r>
      <w:r>
        <w:rPr>
          <w:b/>
          <w:i/>
          <w:color w:val="161616"/>
          <w:highlight w:val="white"/>
        </w:rPr>
        <w:t xml:space="preserve">Κωνσταντίνα </w:t>
      </w:r>
      <w:proofErr w:type="spellStart"/>
      <w:r>
        <w:rPr>
          <w:b/>
          <w:i/>
          <w:color w:val="161616"/>
          <w:highlight w:val="white"/>
        </w:rPr>
        <w:t>Γογγάκη</w:t>
      </w:r>
      <w:proofErr w:type="spellEnd"/>
      <w:r>
        <w:rPr>
          <w:b/>
          <w:i/>
          <w:color w:val="161616"/>
          <w:highlight w:val="white"/>
        </w:rPr>
        <w:t xml:space="preserve">, </w:t>
      </w:r>
      <w:proofErr w:type="spellStart"/>
      <w:r>
        <w:rPr>
          <w:b/>
          <w:i/>
          <w:color w:val="161616"/>
          <w:highlight w:val="white"/>
        </w:rPr>
        <w:t>αναπλ</w:t>
      </w:r>
      <w:proofErr w:type="spellEnd"/>
      <w:r>
        <w:rPr>
          <w:b/>
          <w:i/>
          <w:color w:val="161616"/>
          <w:highlight w:val="white"/>
        </w:rPr>
        <w:t xml:space="preserve">. </w:t>
      </w:r>
      <w:proofErr w:type="spellStart"/>
      <w:r>
        <w:rPr>
          <w:b/>
          <w:i/>
          <w:color w:val="161616"/>
          <w:highlight w:val="white"/>
        </w:rPr>
        <w:t>Καθ</w:t>
      </w:r>
      <w:proofErr w:type="spellEnd"/>
      <w:r>
        <w:rPr>
          <w:b/>
          <w:i/>
          <w:color w:val="161616"/>
          <w:highlight w:val="white"/>
        </w:rPr>
        <w:t>. ΕΚΠΑ</w:t>
      </w:r>
      <w:r>
        <w:rPr>
          <w:i/>
          <w:color w:val="161616"/>
          <w:highlight w:val="white"/>
        </w:rPr>
        <w:t>).</w:t>
      </w:r>
      <w:r>
        <w:t xml:space="preserve"> Μέσα από το υποφαινόμενο πρόγραμμα καλλιέργειας δεξιοτήτων, πρωταρχικός σκοπός μας είναι  να κατανοήσουν οι μαθητές/</w:t>
      </w:r>
      <w:proofErr w:type="spellStart"/>
      <w:r>
        <w:t>τριες</w:t>
      </w:r>
      <w:proofErr w:type="spellEnd"/>
      <w:r>
        <w:t xml:space="preserve"> τη βαθύτερη έννοια του οπαδού και την ουσιαστική συμμετοχή του σε αθλητικές δραστηριότητες</w:t>
      </w:r>
      <w:r>
        <w:rPr>
          <w:color w:val="000000"/>
        </w:rPr>
        <w:t>. Ακόμη</w:t>
      </w:r>
      <w:r>
        <w:t xml:space="preserve">  να καλλιεργήσουν την κριτική τους ικανότητα, ώστε να αναγνωρίζουν το θεμιτό και το αθέμιτο σε έναν αθλητικό χώρο. Να καταγράψουν συναισθήματα και νόρμες συμπεριφοράς σε έναν αθλητικό αγώνα, να αναγνωρίσουν την ομορφιά της διαφορετικότητας σε όλα τα επίπεδα (αθλητικό, πολιτισμικό, κοινωνικό, φυλετικό) και τον τρόπο με τον οποίο, ο αθλητισμός, εξελίσσει μια κοινωνία μέσα από την ενεργή συμπερίληψη. Το οπτικοακουστικό υλικό, καθώς και οι προτεινόμενες δράσεις, δημιουργούν το αίσθημα της κοινωνικής ευθύνης στους μαθητές/</w:t>
      </w:r>
      <w:proofErr w:type="spellStart"/>
      <w:r>
        <w:t>τριες</w:t>
      </w:r>
      <w:proofErr w:type="spellEnd"/>
      <w:r>
        <w:t xml:space="preserve"> και τους οδηγεί να γίνουν ενεργοί πολίτες, που θα αποβάλλουν εικόνες και συμπεριφορές ντροπής για τη χώρα που γεννήθηκε η έννοια της εκεχειρίας και του ολυμπιακού πνεύματος, της συνεργασίας και της ευγενούς άμιλλας</w:t>
      </w:r>
      <w:r>
        <w:rPr>
          <w:sz w:val="20"/>
          <w:szCs w:val="20"/>
        </w:rPr>
        <w:t xml:space="preserve">. </w:t>
      </w:r>
    </w:p>
    <w:p w:rsidR="00A46B30" w:rsidRDefault="00A46B30" w:rsidP="00A46B30">
      <w:pPr>
        <w:pBdr>
          <w:top w:val="single" w:sz="4" w:space="1" w:color="000000"/>
          <w:left w:val="single" w:sz="4" w:space="4" w:color="000000"/>
          <w:bottom w:val="single" w:sz="4" w:space="1" w:color="000000"/>
          <w:right w:val="single" w:sz="4" w:space="4" w:color="000000"/>
        </w:pBdr>
        <w:spacing w:after="0" w:line="276" w:lineRule="auto"/>
        <w:jc w:val="both"/>
        <w:rPr>
          <w:rFonts w:ascii="Cambria" w:eastAsia="Cambria" w:hAnsi="Cambria" w:cs="Cambria"/>
        </w:rPr>
      </w:pPr>
    </w:p>
    <w:p w:rsidR="00A46B30" w:rsidRDefault="00A46B30" w:rsidP="00A46B30">
      <w:pPr>
        <w:pBdr>
          <w:top w:val="single" w:sz="4" w:space="1" w:color="000000"/>
          <w:left w:val="single" w:sz="4" w:space="4" w:color="000000"/>
          <w:bottom w:val="single" w:sz="4" w:space="1" w:color="000000"/>
          <w:right w:val="single" w:sz="4" w:space="4" w:color="000000"/>
        </w:pBdr>
        <w:spacing w:after="0" w:line="276" w:lineRule="auto"/>
        <w:ind w:left="567" w:hanging="567"/>
        <w:jc w:val="both"/>
        <w:rPr>
          <w:rFonts w:ascii="Cambria" w:eastAsia="Cambria" w:hAnsi="Cambria" w:cs="Cambria"/>
        </w:rPr>
      </w:pPr>
    </w:p>
    <w:p w:rsidR="00A46B30" w:rsidRDefault="00A46B30" w:rsidP="00A46B30">
      <w:pPr>
        <w:pBdr>
          <w:top w:val="single" w:sz="4" w:space="1" w:color="000000"/>
          <w:left w:val="single" w:sz="4" w:space="4" w:color="000000"/>
          <w:bottom w:val="single" w:sz="4" w:space="1" w:color="000000"/>
          <w:right w:val="single" w:sz="4" w:space="4" w:color="000000"/>
        </w:pBdr>
        <w:spacing w:after="0" w:line="276" w:lineRule="auto"/>
        <w:ind w:left="567" w:hanging="567"/>
        <w:jc w:val="both"/>
        <w:rPr>
          <w:rFonts w:ascii="Cambria" w:eastAsia="Cambria" w:hAnsi="Cambria" w:cs="Cambria"/>
        </w:rPr>
      </w:pPr>
    </w:p>
    <w:p w:rsidR="00A46B30" w:rsidRDefault="00A46B30" w:rsidP="00A46B30">
      <w:pPr>
        <w:spacing w:after="0" w:line="276" w:lineRule="auto"/>
        <w:rPr>
          <w:rFonts w:ascii="Cambria" w:eastAsia="Cambria" w:hAnsi="Cambria" w:cs="Cambria"/>
        </w:rPr>
      </w:pPr>
    </w:p>
    <w:p w:rsidR="00A46B30" w:rsidRDefault="00A46B30" w:rsidP="00A46B30">
      <w:pPr>
        <w:spacing w:after="0"/>
        <w:ind w:left="284" w:hanging="284"/>
        <w:jc w:val="both"/>
        <w:rPr>
          <w:b/>
        </w:rPr>
      </w:pPr>
      <w:r>
        <w:rPr>
          <w:b/>
        </w:rPr>
        <w:t>Προσβασιμότητα</w:t>
      </w:r>
    </w:p>
    <w:p w:rsidR="00A46B30" w:rsidRDefault="00A46B30" w:rsidP="00A46B30">
      <w:pPr>
        <w:pBdr>
          <w:top w:val="single" w:sz="4" w:space="1" w:color="000000"/>
          <w:left w:val="single" w:sz="4" w:space="4" w:color="000000"/>
          <w:bottom w:val="single" w:sz="4" w:space="1" w:color="000000"/>
          <w:right w:val="single" w:sz="4" w:space="4" w:color="000000"/>
        </w:pBdr>
        <w:spacing w:after="0" w:line="276" w:lineRule="auto"/>
        <w:jc w:val="both"/>
      </w:pPr>
      <w:r>
        <w:t xml:space="preserve">Εξασφαλίζουμε την κατανόηση των κειμένων, που περιλαμβάνονται στο σχετικό εκπαιδευτικό υλικό, </w:t>
      </w:r>
      <w:proofErr w:type="spellStart"/>
      <w:r>
        <w:t>power</w:t>
      </w:r>
      <w:proofErr w:type="spellEnd"/>
      <w:r>
        <w:t xml:space="preserve"> </w:t>
      </w:r>
      <w:proofErr w:type="spellStart"/>
      <w:r>
        <w:t>point</w:t>
      </w:r>
      <w:proofErr w:type="spellEnd"/>
      <w:r>
        <w:t>, σε συνεργασία με τους/τις καθηγητές/</w:t>
      </w:r>
      <w:proofErr w:type="spellStart"/>
      <w:r>
        <w:t>τριες</w:t>
      </w:r>
      <w:proofErr w:type="spellEnd"/>
      <w:r>
        <w:t xml:space="preserve"> ξένων γλωσσών, μεταφράζοντας όσα θα χρειαστεί να διαβάσουν ή να μελετήσουν οι μαθητές/</w:t>
      </w:r>
      <w:proofErr w:type="spellStart"/>
      <w:r>
        <w:t>τριες</w:t>
      </w:r>
      <w:proofErr w:type="spellEnd"/>
      <w:r>
        <w:t xml:space="preserve"> από άλλες χώρες. Επενδύουμε στην ομαδική συνεργασία και </w:t>
      </w:r>
      <w:r>
        <w:rPr>
          <w:color w:val="000000"/>
        </w:rPr>
        <w:t xml:space="preserve">στη </w:t>
      </w:r>
      <w:r>
        <w:t>στήριξη των μαθητών/τριών από την εκάστοτε ομάδα τους και τη συμπερίληψή τους μέσα από τις δημιουργικές δράσεις, που θα πραγματοποιηθούν. Παράλληλα, μαθητές/</w:t>
      </w:r>
      <w:proofErr w:type="spellStart"/>
      <w:r>
        <w:t>τριες</w:t>
      </w:r>
      <w:proofErr w:type="spellEnd"/>
      <w:r>
        <w:t xml:space="preserve">, με κινητικά προβλήματα θα συμπεριληφθούν στις δράσεις εξωτερικού χώρου με αντικατάσταση των συμβατικών παιχνιδιών από εκείνα που είναι προσαρμοσμένα στις ανάγκες τους π.χ. μπάλα με κουδουνάκι για τυφλούς, ή καλαθοσφαίριση από καρέκλες, εφόσον υπάρχουν παιδιά σε αναπηρικά </w:t>
      </w:r>
      <w:proofErr w:type="spellStart"/>
      <w:r>
        <w:t>αμαξίδια</w:t>
      </w:r>
      <w:proofErr w:type="spellEnd"/>
      <w:r>
        <w:t>.</w:t>
      </w:r>
    </w:p>
    <w:p w:rsidR="00A46B30" w:rsidRDefault="00A46B30" w:rsidP="00A46B30">
      <w:pPr>
        <w:pBdr>
          <w:top w:val="single" w:sz="4" w:space="1" w:color="000000"/>
          <w:left w:val="single" w:sz="4" w:space="4" w:color="000000"/>
          <w:bottom w:val="single" w:sz="4" w:space="1" w:color="000000"/>
          <w:right w:val="single" w:sz="4" w:space="4" w:color="000000"/>
        </w:pBdr>
        <w:spacing w:after="0" w:line="276" w:lineRule="auto"/>
        <w:jc w:val="both"/>
        <w:rPr>
          <w:rFonts w:ascii="Cambria" w:eastAsia="Cambria" w:hAnsi="Cambria" w:cs="Cambria"/>
        </w:rPr>
      </w:pPr>
    </w:p>
    <w:p w:rsidR="00A46B30" w:rsidRDefault="00A46B30" w:rsidP="00A46B30">
      <w:pPr>
        <w:pBdr>
          <w:top w:val="single" w:sz="4" w:space="1" w:color="000000"/>
          <w:left w:val="single" w:sz="4" w:space="4" w:color="000000"/>
          <w:bottom w:val="single" w:sz="4" w:space="1" w:color="000000"/>
          <w:right w:val="single" w:sz="4" w:space="4" w:color="000000"/>
        </w:pBdr>
        <w:spacing w:after="0" w:line="276" w:lineRule="auto"/>
        <w:jc w:val="both"/>
        <w:rPr>
          <w:rFonts w:ascii="Cambria" w:eastAsia="Cambria" w:hAnsi="Cambria" w:cs="Cambria"/>
        </w:rPr>
      </w:pPr>
    </w:p>
    <w:p w:rsidR="00A46B30" w:rsidRDefault="00A46B30" w:rsidP="00A46B30">
      <w:pPr>
        <w:spacing w:after="0" w:line="276" w:lineRule="auto"/>
        <w:jc w:val="both"/>
        <w:rPr>
          <w:rFonts w:ascii="Cambria" w:eastAsia="Cambria" w:hAnsi="Cambria" w:cs="Cambria"/>
        </w:rPr>
      </w:pPr>
    </w:p>
    <w:p w:rsidR="00A46B30" w:rsidRDefault="00A46B30" w:rsidP="00A46B30">
      <w:pPr>
        <w:spacing w:after="0" w:line="276" w:lineRule="auto"/>
        <w:jc w:val="both"/>
        <w:rPr>
          <w:rFonts w:ascii="Cambria" w:eastAsia="Cambria" w:hAnsi="Cambria" w:cs="Cambria"/>
        </w:rPr>
      </w:pPr>
    </w:p>
    <w:p w:rsidR="00A46B30" w:rsidRDefault="00A46B30" w:rsidP="00A46B30">
      <w:pPr>
        <w:spacing w:after="0"/>
        <w:ind w:left="284" w:hanging="284"/>
        <w:jc w:val="both"/>
      </w:pPr>
      <w:r>
        <w:rPr>
          <w:b/>
        </w:rPr>
        <w:t xml:space="preserve">Δυνατότητα επέκτασης </w:t>
      </w:r>
    </w:p>
    <w:p w:rsidR="00A46B30" w:rsidRDefault="00A46B30" w:rsidP="00A46B30">
      <w:pPr>
        <w:pBdr>
          <w:top w:val="single" w:sz="4" w:space="1" w:color="000000"/>
          <w:left w:val="single" w:sz="4" w:space="4" w:color="000000"/>
          <w:bottom w:val="single" w:sz="4" w:space="1" w:color="000000"/>
          <w:right w:val="single" w:sz="4" w:space="4" w:color="000000"/>
        </w:pBdr>
        <w:spacing w:after="0" w:line="276" w:lineRule="auto"/>
        <w:jc w:val="both"/>
      </w:pPr>
      <w:r>
        <w:t xml:space="preserve">Στο τέλος της σχολικής χρονιάς και σε συνεργασία με τον Σύλλογο Γονέων και Κηδεμόνων, διοργανώνουμε </w:t>
      </w:r>
      <w:r>
        <w:rPr>
          <w:b/>
        </w:rPr>
        <w:t>μια γιορτή</w:t>
      </w:r>
      <w:r>
        <w:t xml:space="preserve"> με θέμα </w:t>
      </w:r>
      <w:r>
        <w:rPr>
          <w:b/>
        </w:rPr>
        <w:t>«Η χαρά του αθλητισμού»</w:t>
      </w:r>
      <w:r>
        <w:t>, όπου οι μαθητές/</w:t>
      </w:r>
      <w:proofErr w:type="spellStart"/>
      <w:r>
        <w:t>τριες</w:t>
      </w:r>
      <w:proofErr w:type="spellEnd"/>
      <w:r>
        <w:t xml:space="preserve"> παρουσιάζουν την πορεία των </w:t>
      </w:r>
      <w:proofErr w:type="spellStart"/>
      <w:r>
        <w:t>δράσεών</w:t>
      </w:r>
      <w:proofErr w:type="spellEnd"/>
      <w:r>
        <w:t xml:space="preserve"> τους, τα αποτελέσματα των ερευνών τους, καθώς και τα θεατρικά σενάρια που ετοίμασαν (μπορούν να φιλοτεχνήσουν τα σκηνικά, τα κοστούμια, ακόμη να ασχοληθούν και με τη σκηνοθεσία, στο πλαίσιο του σχολικού ωραρίου). Η γιορτή μπορεί να γίνει στο προαύλιο του σχολείου ή, εφόσον υπάρχει, στον κλειστό χώρο εκδηλώσεων  του σχολείου (για θεατρικές παραστάσεις και γιορτές).</w:t>
      </w:r>
    </w:p>
    <w:p w:rsidR="00A46B30" w:rsidRDefault="00A46B30" w:rsidP="00A46B30">
      <w:pPr>
        <w:pBdr>
          <w:top w:val="single" w:sz="4" w:space="1" w:color="000000"/>
          <w:left w:val="single" w:sz="4" w:space="4" w:color="000000"/>
          <w:bottom w:val="single" w:sz="4" w:space="1" w:color="000000"/>
          <w:right w:val="single" w:sz="4" w:space="4" w:color="000000"/>
        </w:pBdr>
        <w:spacing w:after="0" w:line="276" w:lineRule="auto"/>
        <w:jc w:val="both"/>
      </w:pPr>
      <w:r>
        <w:t xml:space="preserve">Μπορούν να φτιάξουν </w:t>
      </w:r>
      <w:r>
        <w:rPr>
          <w:b/>
        </w:rPr>
        <w:t>το δικό τους τραγούδι</w:t>
      </w:r>
      <w:r>
        <w:t xml:space="preserve"> σε συνεργασία με τον/την καθηγητή/</w:t>
      </w:r>
      <w:proofErr w:type="spellStart"/>
      <w:r>
        <w:t>τρια</w:t>
      </w:r>
      <w:proofErr w:type="spellEnd"/>
      <w:r>
        <w:t xml:space="preserve"> της Μουσικής και χρησιμοποιώντας για στίχους τα συνθήματα που έχουν διατυπώσει ή τις βαθύτερες σκέψεις και τα συναισθήματά τους.</w:t>
      </w:r>
    </w:p>
    <w:p w:rsidR="00A46B30" w:rsidRDefault="00A46B30" w:rsidP="00A46B30">
      <w:pPr>
        <w:pBdr>
          <w:top w:val="single" w:sz="4" w:space="1" w:color="000000"/>
          <w:left w:val="single" w:sz="4" w:space="4" w:color="000000"/>
          <w:bottom w:val="single" w:sz="4" w:space="1" w:color="000000"/>
          <w:right w:val="single" w:sz="4" w:space="4" w:color="000000"/>
        </w:pBdr>
        <w:spacing w:after="0" w:line="276" w:lineRule="auto"/>
        <w:jc w:val="both"/>
      </w:pPr>
      <w:r>
        <w:t>Οι μαθητές/</w:t>
      </w:r>
      <w:proofErr w:type="spellStart"/>
      <w:r>
        <w:t>τριες</w:t>
      </w:r>
      <w:proofErr w:type="spellEnd"/>
      <w:r>
        <w:t xml:space="preserve"> φιλοτεχνούν, με τη βοήθεια του/της καθηγητή/</w:t>
      </w:r>
      <w:proofErr w:type="spellStart"/>
      <w:r>
        <w:t>τριας</w:t>
      </w:r>
      <w:proofErr w:type="spellEnd"/>
      <w:r>
        <w:t xml:space="preserve"> των Εικαστικών, </w:t>
      </w:r>
      <w:hyperlink r:id="rId4">
        <w:r>
          <w:rPr>
            <w:b/>
            <w:color w:val="0563C1"/>
            <w:u w:val="single"/>
          </w:rPr>
          <w:t>κονκάρδες</w:t>
        </w:r>
      </w:hyperlink>
      <w:r>
        <w:rPr>
          <w:b/>
        </w:rPr>
        <w:t xml:space="preserve"> με ένα τελικό σύνθημα κατά της βίας </w:t>
      </w:r>
      <w:r>
        <w:t xml:space="preserve">και τις φορούν. Συγκεντρώνουν φωτογραφίες από έντυπα ή το διαδίκτυο και φτιάχνουν </w:t>
      </w:r>
      <w:proofErr w:type="spellStart"/>
      <w:r>
        <w:rPr>
          <w:b/>
        </w:rPr>
        <w:t>κολάζ</w:t>
      </w:r>
      <w:proofErr w:type="spellEnd"/>
      <w:r>
        <w:rPr>
          <w:b/>
        </w:rPr>
        <w:t xml:space="preserve"> – αφίσα που τοποθετείται σε κοινόχρηστο χώρο του σχολείου</w:t>
      </w:r>
      <w:r>
        <w:t>.</w:t>
      </w:r>
    </w:p>
    <w:p w:rsidR="00A46B30" w:rsidRDefault="00A46B30" w:rsidP="00A46B30">
      <w:pPr>
        <w:pBdr>
          <w:top w:val="single" w:sz="4" w:space="1" w:color="000000"/>
          <w:left w:val="single" w:sz="4" w:space="4" w:color="000000"/>
          <w:bottom w:val="single" w:sz="4" w:space="1" w:color="000000"/>
          <w:right w:val="single" w:sz="4" w:space="4" w:color="000000"/>
        </w:pBdr>
        <w:spacing w:after="0" w:line="276" w:lineRule="auto"/>
        <w:jc w:val="both"/>
        <w:rPr>
          <w:rFonts w:ascii="Cambria" w:eastAsia="Cambria" w:hAnsi="Cambria" w:cs="Cambria"/>
        </w:rPr>
      </w:pPr>
    </w:p>
    <w:p w:rsidR="00A46B30" w:rsidRDefault="00A46B30" w:rsidP="00A46B30">
      <w:pPr>
        <w:pBdr>
          <w:top w:val="single" w:sz="4" w:space="1" w:color="000000"/>
          <w:left w:val="single" w:sz="4" w:space="4" w:color="000000"/>
          <w:bottom w:val="single" w:sz="4" w:space="1" w:color="000000"/>
          <w:right w:val="single" w:sz="4" w:space="4" w:color="000000"/>
        </w:pBdr>
        <w:spacing w:after="0" w:line="276" w:lineRule="auto"/>
        <w:jc w:val="both"/>
        <w:rPr>
          <w:rFonts w:ascii="Cambria" w:eastAsia="Cambria" w:hAnsi="Cambria" w:cs="Cambria"/>
        </w:rPr>
      </w:pPr>
    </w:p>
    <w:p w:rsidR="00964252" w:rsidRDefault="00964252">
      <w:bookmarkStart w:id="0" w:name="_GoBack"/>
      <w:bookmarkEnd w:id="0"/>
    </w:p>
    <w:sectPr w:rsidR="00964252">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Roboto Condensed">
    <w:altName w:val="Times New Roman"/>
    <w:charset w:val="00"/>
    <w:family w:val="auto"/>
    <w:pitch w:val="default"/>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73EC"/>
    <w:rsid w:val="007B73EC"/>
    <w:rsid w:val="00964252"/>
    <w:rsid w:val="00A46B3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9EBF76-836A-4546-A3B7-46BEBA774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6B30"/>
    <w:rPr>
      <w:rFonts w:ascii="Calibri" w:eastAsia="Calibri" w:hAnsi="Calibri" w:cs="Calibri"/>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docs.google.com/document/d/1xqJAffA5xks_kIlQeKLXGcdSWETAUAgA/edit?usp=drive_link&amp;ouid=111843701558823479370&amp;rtpof=true&amp;sd=true"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673</Words>
  <Characters>3640</Characters>
  <Application>Microsoft Office Word</Application>
  <DocSecurity>0</DocSecurity>
  <Lines>30</Lines>
  <Paragraphs>8</Paragraphs>
  <ScaleCrop>false</ScaleCrop>
  <Company/>
  <LinksUpToDate>false</LinksUpToDate>
  <CharactersWithSpaces>4305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Στειακάκης Χρυσοβαλάντης</dc:creator>
  <cp:keywords/>
  <dc:description/>
  <cp:lastModifiedBy>Στειακάκης Χρυσοβαλάντης</cp:lastModifiedBy>
  <cp:revision>2</cp:revision>
  <dcterms:created xsi:type="dcterms:W3CDTF">2024-07-30T08:13:00Z</dcterms:created>
  <dcterms:modified xsi:type="dcterms:W3CDTF">2024-07-30T08:13:00Z</dcterms:modified>
</cp:coreProperties>
</file>